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0AB63DBC" w:rsidR="003F3A41" w:rsidRPr="00500C4E" w:rsidRDefault="00A57D36" w:rsidP="00A57D36">
      <w:pPr>
        <w:pStyle w:val="WPnumber"/>
      </w:pPr>
      <w:bookmarkStart w:id="0" w:name="_Toc153189647"/>
      <w:bookmarkStart w:id="1" w:name="_Toc214003082"/>
      <w:bookmarkStart w:id="2" w:name="_GoBack"/>
      <w:bookmarkEnd w:id="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02503" w:rsidRPr="00D02503">
            <w:t>SCE17WP010</w:t>
          </w:r>
        </w:sdtContent>
      </w:sdt>
    </w:p>
    <w:bookmarkEnd w:id="0"/>
    <w:p w14:paraId="7601CE2F" w14:textId="0679083F" w:rsidR="00DA690B" w:rsidRPr="00500C4E" w:rsidRDefault="0026365F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5319F0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23781615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3" w:name="SCE"/>
    <w:p w14:paraId="1837A157" w14:textId="79948BB8" w:rsidR="00DA690B" w:rsidRPr="00500C4E" w:rsidRDefault="0026365F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3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6D87564B" w:rsidR="00E76B31" w:rsidRPr="00500C4E" w:rsidRDefault="003234A2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  <w:r>
        <w:rPr>
          <w:rFonts w:asciiTheme="minorHAnsi" w:hAnsiTheme="minorHAnsi" w:cstheme="minorHAnsi"/>
          <w:b/>
          <w:i w:val="0"/>
          <w:color w:val="auto"/>
          <w:sz w:val="72"/>
          <w:szCs w:val="72"/>
        </w:rPr>
        <w:t>High Performance Circulator (HPC) Pumps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2"/>
        </w:rPr>
      </w:pPr>
      <w:r>
        <w:rPr>
          <w:rFonts w:asciiTheme="minorHAnsi" w:hAnsiTheme="minorHAnsi" w:cstheme="minorHAnsi"/>
          <w:b/>
          <w:i w:val="0"/>
          <w:color w:val="auto"/>
          <w:sz w:val="28"/>
          <w:szCs w:val="22"/>
        </w:rPr>
        <w:lastRenderedPageBreak/>
        <w:t>Introduction</w:t>
      </w:r>
    </w:p>
    <w:p w14:paraId="36DF0D49" w14:textId="62226E83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  <w:r>
        <w:rPr>
          <w:rFonts w:asciiTheme="minorHAnsi" w:hAnsiTheme="minorHAnsi" w:cstheme="minorHAnsi"/>
          <w:i w:val="0"/>
          <w:color w:val="auto"/>
          <w:sz w:val="28"/>
          <w:szCs w:val="22"/>
        </w:rPr>
        <w:t>This short form workpaper</w:t>
      </w:r>
      <w:r w:rsidR="00992017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(WP)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documents the values adopted from PGE’s WP entitled “</w:t>
      </w:r>
      <w:r w:rsidR="003234A2">
        <w:rPr>
          <w:rFonts w:asciiTheme="minorHAnsi" w:hAnsiTheme="minorHAnsi" w:cstheme="minorHAnsi"/>
          <w:i w:val="0"/>
          <w:color w:val="auto"/>
          <w:sz w:val="28"/>
          <w:szCs w:val="22"/>
        </w:rPr>
        <w:t>High Performance Circulator (HPC) Pumps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>” (</w:t>
      </w:r>
      <w:r w:rsidR="00AB3291">
        <w:rPr>
          <w:rFonts w:asciiTheme="minorHAnsi" w:hAnsiTheme="minorHAnsi" w:cstheme="minorHAnsi"/>
          <w:i w:val="0"/>
          <w:color w:val="auto"/>
          <w:sz w:val="28"/>
          <w:szCs w:val="22"/>
        </w:rPr>
        <w:t>PGE</w:t>
      </w:r>
      <w:r w:rsidR="003234A2">
        <w:rPr>
          <w:rFonts w:asciiTheme="minorHAnsi" w:hAnsiTheme="minorHAnsi" w:cstheme="minorHAnsi"/>
          <w:i w:val="0"/>
          <w:color w:val="auto"/>
          <w:sz w:val="28"/>
          <w:szCs w:val="22"/>
        </w:rPr>
        <w:t>COPUM107</w:t>
      </w:r>
      <w:r w:rsidR="00AB3291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R0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). SCE adopts all the values in </w:t>
      </w:r>
      <w:r w:rsidR="003234A2">
        <w:rPr>
          <w:rFonts w:asciiTheme="minorHAnsi" w:hAnsiTheme="minorHAnsi" w:cstheme="minorHAnsi"/>
          <w:i w:val="0"/>
          <w:color w:val="auto"/>
          <w:sz w:val="28"/>
          <w:szCs w:val="22"/>
        </w:rPr>
        <w:t>PGECOPUM107 R0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>– “</w:t>
      </w:r>
      <w:r w:rsidR="003234A2">
        <w:rPr>
          <w:rFonts w:asciiTheme="minorHAnsi" w:hAnsiTheme="minorHAnsi" w:cstheme="minorHAnsi"/>
          <w:i w:val="0"/>
          <w:color w:val="auto"/>
          <w:sz w:val="28"/>
          <w:szCs w:val="22"/>
        </w:rPr>
        <w:t>High Performance Circulator (HPC) Pumps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>”</w:t>
      </w:r>
      <w:r w:rsidR="003234A2"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. </w:t>
      </w:r>
      <w:r>
        <w:rPr>
          <w:rFonts w:asciiTheme="minorHAnsi" w:hAnsiTheme="minorHAnsi" w:cstheme="minorHAnsi"/>
          <w:i w:val="0"/>
          <w:color w:val="auto"/>
          <w:sz w:val="28"/>
          <w:szCs w:val="22"/>
        </w:rPr>
        <w:t xml:space="preserve"> </w:t>
      </w:r>
    </w:p>
    <w:p w14:paraId="78940EFD" w14:textId="77777777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524"/>
        <w:gridCol w:w="1081"/>
        <w:gridCol w:w="1310"/>
        <w:gridCol w:w="6435"/>
      </w:tblGrid>
      <w:tr w:rsidR="003845E5" w:rsidRPr="00500C4E" w14:paraId="5AFD7FBC" w14:textId="77777777" w:rsidTr="00357868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578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701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3441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3845E5" w:rsidRPr="00500C4E" w14:paraId="62DC1728" w14:textId="77777777" w:rsidTr="00357868">
        <w:trPr>
          <w:trHeight w:val="20"/>
        </w:trPr>
        <w:tc>
          <w:tcPr>
            <w:tcW w:w="280" w:type="pct"/>
            <w:tcBorders>
              <w:bottom w:val="single" w:sz="4" w:space="0" w:color="auto"/>
            </w:tcBorders>
          </w:tcPr>
          <w:p w14:paraId="3E501C93" w14:textId="20AF16A5" w:rsidR="0036726C" w:rsidRPr="00500C4E" w:rsidRDefault="00357868" w:rsidP="005729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14:paraId="2265169C" w14:textId="54AD3630" w:rsidR="0036726C" w:rsidRPr="00500C4E" w:rsidRDefault="00021B55" w:rsidP="003234A2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3/</w:t>
            </w:r>
            <w:r w:rsidR="003234A2">
              <w:rPr>
                <w:rFonts w:cstheme="minorHAnsi"/>
                <w:szCs w:val="20"/>
              </w:rPr>
              <w:t>16</w:t>
            </w:r>
            <w:r w:rsidR="00357868">
              <w:rPr>
                <w:rFonts w:cstheme="minorHAnsi"/>
                <w:szCs w:val="20"/>
              </w:rPr>
              <w:t>/2018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1B212508" w14:textId="5A5FAD14" w:rsidR="0036726C" w:rsidRPr="00500C4E" w:rsidRDefault="003234A2" w:rsidP="005729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Kara Vega</w:t>
            </w:r>
            <w:r w:rsidR="00357868">
              <w:rPr>
                <w:rFonts w:cstheme="minorHAnsi"/>
                <w:szCs w:val="20"/>
              </w:rPr>
              <w:t>/TRC</w:t>
            </w:r>
          </w:p>
        </w:tc>
        <w:tc>
          <w:tcPr>
            <w:tcW w:w="3441" w:type="pct"/>
            <w:tcBorders>
              <w:bottom w:val="single" w:sz="4" w:space="0" w:color="auto"/>
            </w:tcBorders>
          </w:tcPr>
          <w:p w14:paraId="16A2217A" w14:textId="549D26A6" w:rsidR="0036726C" w:rsidRDefault="00992017" w:rsidP="003234A2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Savings</w:t>
            </w:r>
            <w:r w:rsidR="00F30167" w:rsidRPr="00F30167">
              <w:rPr>
                <w:rFonts w:cstheme="minorHAnsi"/>
                <w:bCs/>
                <w:szCs w:val="20"/>
              </w:rPr>
              <w:t xml:space="preserve"> for PGE workpaper based on </w:t>
            </w:r>
            <w:r w:rsidR="003234A2" w:rsidRPr="003234A2">
              <w:rPr>
                <w:rFonts w:cstheme="minorHAnsi"/>
                <w:bCs/>
                <w:szCs w:val="20"/>
              </w:rPr>
              <w:t>PGECOPUM107 R0</w:t>
            </w:r>
            <w:r w:rsidR="003234A2">
              <w:rPr>
                <w:rFonts w:cstheme="minorHAnsi"/>
                <w:bCs/>
                <w:szCs w:val="20"/>
              </w:rPr>
              <w:t xml:space="preserve"> </w:t>
            </w:r>
            <w:r w:rsidR="003234A2" w:rsidRPr="00357868">
              <w:rPr>
                <w:rFonts w:cstheme="minorHAnsi"/>
                <w:bCs/>
                <w:szCs w:val="20"/>
              </w:rPr>
              <w:t>–</w:t>
            </w:r>
            <w:r w:rsidR="00357868" w:rsidRPr="00357868">
              <w:rPr>
                <w:rFonts w:cstheme="minorHAnsi"/>
                <w:bCs/>
                <w:szCs w:val="20"/>
              </w:rPr>
              <w:t xml:space="preserve"> “</w:t>
            </w:r>
            <w:r w:rsidR="003234A2" w:rsidRPr="003234A2">
              <w:rPr>
                <w:rFonts w:cstheme="minorHAnsi"/>
                <w:bCs/>
                <w:szCs w:val="20"/>
              </w:rPr>
              <w:t>High Performance Circulator (HPC) Pumps</w:t>
            </w:r>
            <w:r w:rsidR="003234A2">
              <w:rPr>
                <w:rFonts w:cstheme="minorHAnsi"/>
                <w:bCs/>
                <w:szCs w:val="20"/>
              </w:rPr>
              <w:t>”</w:t>
            </w:r>
            <w:r>
              <w:rPr>
                <w:rFonts w:cstheme="minorHAnsi"/>
                <w:bCs/>
                <w:szCs w:val="20"/>
              </w:rPr>
              <w:t xml:space="preserve">. </w:t>
            </w:r>
          </w:p>
          <w:p w14:paraId="4908AAC8" w14:textId="77777777" w:rsidR="00F30167" w:rsidRDefault="00F30167" w:rsidP="005C2DAE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Transferred savings values to SCE Calculation template for the 2017 program year. </w:t>
            </w:r>
          </w:p>
          <w:p w14:paraId="5DF6782C" w14:textId="77777777" w:rsidR="00481E3E" w:rsidRDefault="00481E3E" w:rsidP="005C2DAE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Only SCE climate zones are included. </w:t>
            </w:r>
          </w:p>
          <w:p w14:paraId="61966CE2" w14:textId="536D0EFE" w:rsidR="00337627" w:rsidRPr="00500C4E" w:rsidRDefault="00337627" w:rsidP="005C2DAE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Replaced PG&amp;E load shape with SCE load shape.</w:t>
            </w:r>
          </w:p>
        </w:tc>
      </w:tr>
    </w:tbl>
    <w:p w14:paraId="0A689F00" w14:textId="0E183693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r w:rsidR="0026365F">
        <w:fldChar w:fldCharType="begin"/>
      </w:r>
      <w:r w:rsidR="0026365F">
        <w:instrText xml:space="preserve"> SEQ Table \* ARABIC </w:instrText>
      </w:r>
      <w:r w:rsidR="0026365F">
        <w:fldChar w:fldCharType="separate"/>
      </w:r>
      <w:r>
        <w:rPr>
          <w:noProof/>
        </w:rPr>
        <w:t>1</w:t>
      </w:r>
      <w:r w:rsidR="0026365F">
        <w:rPr>
          <w:noProof/>
        </w:rPr>
        <w:fldChar w:fldCharType="end"/>
      </w:r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7F4905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1D01CD38" w14:textId="4C637076" w:rsidR="00CB57A3" w:rsidRDefault="007F4905" w:rsidP="007F4905">
            <w:pPr>
              <w:rPr>
                <w:rFonts w:cstheme="minorHAnsi"/>
                <w:szCs w:val="22"/>
              </w:rPr>
            </w:pPr>
            <w:r w:rsidRPr="002C01E3">
              <w:rPr>
                <w:rFonts w:cstheme="minorHAnsi"/>
                <w:szCs w:val="22"/>
              </w:rPr>
              <w:t xml:space="preserve">This </w:t>
            </w:r>
            <w:r>
              <w:rPr>
                <w:rFonts w:cstheme="minorHAnsi"/>
                <w:szCs w:val="22"/>
              </w:rPr>
              <w:t xml:space="preserve">short form </w:t>
            </w:r>
            <w:r w:rsidRPr="002C01E3">
              <w:rPr>
                <w:rFonts w:cstheme="minorHAnsi"/>
                <w:szCs w:val="22"/>
              </w:rPr>
              <w:t xml:space="preserve">work paper documents the inputs for </w:t>
            </w:r>
            <w:r w:rsidR="009F010C">
              <w:rPr>
                <w:rFonts w:cstheme="minorHAnsi"/>
                <w:szCs w:val="22"/>
              </w:rPr>
              <w:t xml:space="preserve">measures that </w:t>
            </w:r>
            <w:r w:rsidR="00CB57A3">
              <w:rPr>
                <w:rFonts w:cstheme="minorHAnsi"/>
                <w:szCs w:val="22"/>
              </w:rPr>
              <w:t>reduce the energy associated with p</w:t>
            </w:r>
            <w:r w:rsidR="00CB57A3" w:rsidRPr="00CB57A3">
              <w:rPr>
                <w:rFonts w:cstheme="minorHAnsi"/>
                <w:szCs w:val="22"/>
              </w:rPr>
              <w:t>roperly sized, high-efficiency ECM pump for domestic hot water recirculation with variable speed capabilities and controls to match demand.</w:t>
            </w:r>
            <w:r w:rsidR="005D3DF8">
              <w:rPr>
                <w:rFonts w:cstheme="minorHAnsi"/>
                <w:szCs w:val="22"/>
              </w:rPr>
              <w:t xml:space="preserve"> The High Performance Circulator (PHC) Pumps included in this workpaper are for residential (single and multi-family) domestic hot water applications. </w:t>
            </w:r>
            <w:r w:rsidR="00CB57A3" w:rsidRPr="00CB57A3">
              <w:rPr>
                <w:rFonts w:cstheme="minorHAnsi"/>
                <w:szCs w:val="22"/>
              </w:rPr>
              <w:t xml:space="preserve"> </w:t>
            </w:r>
          </w:p>
          <w:p w14:paraId="77EFE54A" w14:textId="77777777" w:rsidR="009939B0" w:rsidRDefault="009939B0" w:rsidP="007F4905">
            <w:pPr>
              <w:rPr>
                <w:rFonts w:cstheme="minorHAnsi"/>
                <w:szCs w:val="22"/>
              </w:rPr>
            </w:pPr>
          </w:p>
          <w:p w14:paraId="3F6CD77D" w14:textId="619CD388" w:rsidR="007F4905" w:rsidRDefault="007F4905" w:rsidP="007F4905">
            <w:r>
              <w:t xml:space="preserve">The savings values are </w:t>
            </w:r>
            <w:r w:rsidR="00290FE3">
              <w:t>based on</w:t>
            </w:r>
            <w:r>
              <w:t xml:space="preserve"> </w:t>
            </w:r>
            <w:r w:rsidR="009F010C">
              <w:t>PGE’s</w:t>
            </w:r>
            <w:r>
              <w:t xml:space="preserve"> workpaper </w:t>
            </w:r>
            <w:r w:rsidR="00CB57A3" w:rsidRPr="00CB57A3">
              <w:t>PGECOPUM107 R0 – “High Performance Circulator (HPC) Pumps”</w:t>
            </w:r>
            <w:r w:rsidR="00CB57A3">
              <w:t xml:space="preserve">. </w:t>
            </w:r>
          </w:p>
          <w:p w14:paraId="75886E82" w14:textId="77777777" w:rsidR="00CB57A3" w:rsidRDefault="00CB57A3" w:rsidP="007F4905"/>
          <w:p w14:paraId="6E463AD1" w14:textId="4F9A926B" w:rsidR="007F4905" w:rsidRDefault="007F4905" w:rsidP="007F4905"/>
        </w:tc>
      </w:tr>
      <w:tr w:rsidR="007F4905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2FA9A29" w14:textId="2C8E7BF3" w:rsidR="007F4905" w:rsidRDefault="0085268B" w:rsidP="007F4905">
            <w:r>
              <w:rPr>
                <w:b/>
              </w:rPr>
              <w:t>PM-</w:t>
            </w:r>
            <w:r w:rsidR="00CE0AB0">
              <w:rPr>
                <w:b/>
              </w:rPr>
              <w:t>20289</w:t>
            </w:r>
            <w:r w:rsidR="007F4905">
              <w:t xml:space="preserve"> (</w:t>
            </w:r>
            <w:r w:rsidR="009F010C">
              <w:t>PGE</w:t>
            </w:r>
            <w:r w:rsidR="007F4905">
              <w:t xml:space="preserve"> ID </w:t>
            </w:r>
            <w:r w:rsidR="009F010C">
              <w:t>–</w:t>
            </w:r>
            <w:r w:rsidR="007F4905">
              <w:t xml:space="preserve"> </w:t>
            </w:r>
            <w:r>
              <w:rPr>
                <w:rFonts w:cstheme="minorHAnsi"/>
                <w:szCs w:val="20"/>
              </w:rPr>
              <w:t>PM001</w:t>
            </w:r>
            <w:r w:rsidR="007F4905">
              <w:rPr>
                <w:rFonts w:cstheme="minorHAnsi"/>
                <w:szCs w:val="20"/>
              </w:rPr>
              <w:t>)</w:t>
            </w:r>
          </w:p>
          <w:p w14:paraId="52F8E139" w14:textId="0E2E2E53" w:rsidR="007F4905" w:rsidRDefault="007F4905" w:rsidP="007F4905">
            <w:r>
              <w:t xml:space="preserve">Measure: </w:t>
            </w:r>
            <w:r w:rsidR="0085268B">
              <w:t>High Performance Circulator Pump</w:t>
            </w:r>
            <w:r w:rsidR="009F010C" w:rsidRPr="009F010C">
              <w:t xml:space="preserve"> </w:t>
            </w:r>
          </w:p>
          <w:p w14:paraId="30E528BE" w14:textId="77777777" w:rsidR="007F4905" w:rsidRDefault="007F4905" w:rsidP="007F4905"/>
          <w:p w14:paraId="015BF54E" w14:textId="5B6BE8D9" w:rsidR="007F4905" w:rsidRPr="00CE0AB0" w:rsidRDefault="00FA2AEB" w:rsidP="007F4905">
            <w:pPr>
              <w:rPr>
                <w:highlight w:val="yellow"/>
              </w:rPr>
            </w:pPr>
            <w:r>
              <w:t>Baseline</w:t>
            </w:r>
            <w:r w:rsidR="00686B5C">
              <w:t>: M</w:t>
            </w:r>
            <w:r w:rsidR="0031182D">
              <w:t xml:space="preserve">arket </w:t>
            </w:r>
            <w:r w:rsidR="009A1D01" w:rsidRPr="009A1D01">
              <w:t>standard circulators</w:t>
            </w:r>
            <w:r w:rsidR="0031182D">
              <w:t xml:space="preserve">, which </w:t>
            </w:r>
            <w:r w:rsidR="009A1D01" w:rsidRPr="009A1D01">
              <w:t xml:space="preserve">consist of a pump driven by non-regulated, low-efficiency induction type motors, do not utilize variable frequency drives (VFD), and do not have the control capability to match demand. </w:t>
            </w:r>
          </w:p>
          <w:p w14:paraId="3ADC75B4" w14:textId="04F8D05F" w:rsidR="007F4905" w:rsidRDefault="007F4905" w:rsidP="007F4905"/>
        </w:tc>
      </w:tr>
      <w:tr w:rsidR="007F4905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7F4905" w:rsidRDefault="007F4905" w:rsidP="007F4905"/>
        </w:tc>
      </w:tr>
      <w:tr w:rsidR="007F4905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4BEFECC5" w:rsidR="007F4905" w:rsidRDefault="00E3538E" w:rsidP="00CE0AB0">
            <w:r>
              <w:t>PM-</w:t>
            </w:r>
            <w:r w:rsidR="00CE0AB0">
              <w:t>20289</w:t>
            </w:r>
            <w:r>
              <w:t>: High Performance Circulator Pump</w:t>
            </w:r>
          </w:p>
        </w:tc>
      </w:tr>
      <w:tr w:rsidR="007F4905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0300CEE1" w14:textId="34D89A35" w:rsidR="00100F3E" w:rsidRPr="00100F3E" w:rsidRDefault="00100F3E" w:rsidP="007F4905">
            <w:r w:rsidRPr="00100F3E">
              <w:rPr>
                <w:b/>
              </w:rPr>
              <w:t>Title 20</w:t>
            </w:r>
            <w:r>
              <w:rPr>
                <w:b/>
              </w:rPr>
              <w:t xml:space="preserve"> </w:t>
            </w:r>
            <w:r w:rsidR="00FA2AEB">
              <w:rPr>
                <w:b/>
              </w:rPr>
              <w:t>2016</w:t>
            </w:r>
            <w:r w:rsidRPr="00100F3E">
              <w:rPr>
                <w:b/>
              </w:rPr>
              <w:t>:</w:t>
            </w:r>
            <w:r w:rsidRPr="00100F3E">
              <w:t xml:space="preserve"> No Title 20 requirements exist for this product.</w:t>
            </w:r>
          </w:p>
          <w:p w14:paraId="71C7E485" w14:textId="510D4CFA" w:rsidR="00100F3E" w:rsidRPr="00100F3E" w:rsidRDefault="00100F3E" w:rsidP="007F4905">
            <w:r w:rsidRPr="00100F3E">
              <w:t xml:space="preserve"> </w:t>
            </w:r>
          </w:p>
          <w:p w14:paraId="7991D61E" w14:textId="3FBBB705" w:rsidR="009A029F" w:rsidRDefault="00100F3E" w:rsidP="009A029F">
            <w:r w:rsidRPr="00100F3E">
              <w:rPr>
                <w:b/>
              </w:rPr>
              <w:t>Title 24</w:t>
            </w:r>
            <w:r>
              <w:rPr>
                <w:b/>
              </w:rPr>
              <w:t xml:space="preserve"> 2016</w:t>
            </w:r>
            <w:r w:rsidRPr="00100F3E">
              <w:rPr>
                <w:b/>
              </w:rPr>
              <w:t>:</w:t>
            </w:r>
            <w:r w:rsidRPr="00100F3E">
              <w:t xml:space="preserve"> </w:t>
            </w:r>
            <w:r w:rsidR="009A029F">
              <w:t xml:space="preserve">Section </w:t>
            </w:r>
            <w:r w:rsidR="009A029F" w:rsidRPr="009A029F">
              <w:t>150.2(b</w:t>
            </w:r>
            <w:proofErr w:type="gramStart"/>
            <w:r w:rsidR="009A029F" w:rsidRPr="009A029F">
              <w:t>)1Gii</w:t>
            </w:r>
            <w:proofErr w:type="gramEnd"/>
            <w:r w:rsidR="009A029F">
              <w:t xml:space="preserve"> of Title 24 2016 </w:t>
            </w:r>
            <w:r w:rsidR="009A029F" w:rsidRPr="009A029F">
              <w:t xml:space="preserve">mandates that manual demand recirculation controls be used for recirculation distribution systems when an alteration occurs to the water-heating system. As noted, this mandate is only required for alterations. </w:t>
            </w:r>
            <w:r w:rsidR="00E57925">
              <w:t xml:space="preserve">After conferring with </w:t>
            </w:r>
            <w:proofErr w:type="spellStart"/>
            <w:r w:rsidR="00E57925" w:rsidRPr="00E57925">
              <w:t>EnergyCodeAce</w:t>
            </w:r>
            <w:proofErr w:type="spellEnd"/>
            <w:r w:rsidR="00E57925" w:rsidRPr="00E57925">
              <w:t xml:space="preserve">, a support organization for Title 24 compliance, it was concluded </w:t>
            </w:r>
            <w:r w:rsidR="00E57925">
              <w:t>on February 20</w:t>
            </w:r>
            <w:r w:rsidR="00E57925" w:rsidRPr="00E57925">
              <w:rPr>
                <w:vertAlign w:val="superscript"/>
              </w:rPr>
              <w:t>th</w:t>
            </w:r>
            <w:r w:rsidR="00E57925">
              <w:t xml:space="preserve"> 2017, </w:t>
            </w:r>
            <w:r w:rsidR="00E57925" w:rsidRPr="00E57925">
              <w:t xml:space="preserve">that only replacing the circulator pump, is considered a </w:t>
            </w:r>
            <w:r w:rsidR="00E57925" w:rsidRPr="00E57925">
              <w:lastRenderedPageBreak/>
              <w:t>“repair” and is not subject to this requirement</w:t>
            </w:r>
            <w:r w:rsidR="00E57925">
              <w:t xml:space="preserve">. For larger replacements </w:t>
            </w:r>
            <w:r w:rsidR="009A029F">
              <w:t>of the domestic hot water system such as</w:t>
            </w:r>
            <w:r w:rsidR="00E57925">
              <w:t xml:space="preserve"> </w:t>
            </w:r>
            <w:r w:rsidR="00972A35">
              <w:t>water heater</w:t>
            </w:r>
            <w:r w:rsidR="00E57925">
              <w:t xml:space="preserve"> replacement, piping, etc., Title 24 code is triggered and </w:t>
            </w:r>
            <w:r w:rsidR="009A029F">
              <w:t xml:space="preserve">Section 150.1(c)8, Section 150.1(c)8b, and Section </w:t>
            </w:r>
            <w:r w:rsidR="009A029F" w:rsidRPr="009A029F">
              <w:t xml:space="preserve">150.2(b)1Gii </w:t>
            </w:r>
            <w:r w:rsidR="009A029F">
              <w:t>of Title 24 2016 would apply as detailed in S</w:t>
            </w:r>
            <w:r w:rsidR="009A029F" w:rsidRPr="009A029F">
              <w:t>ection 1.2.</w:t>
            </w:r>
            <w:r w:rsidR="009A029F">
              <w:t xml:space="preserve">2 of PGECOPUM107 R0. </w:t>
            </w:r>
          </w:p>
          <w:p w14:paraId="71CCCDEB" w14:textId="4DE20CB9" w:rsidR="007F4905" w:rsidRDefault="007F4905" w:rsidP="009A029F"/>
        </w:tc>
      </w:tr>
      <w:tr w:rsidR="007F4905" w14:paraId="7696972E" w14:textId="77777777" w:rsidTr="009A2332">
        <w:trPr>
          <w:trHeight w:val="576"/>
        </w:trPr>
        <w:tc>
          <w:tcPr>
            <w:tcW w:w="4675" w:type="dxa"/>
          </w:tcPr>
          <w:p w14:paraId="20CC2D9F" w14:textId="0410DA01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Requirements</w:t>
            </w:r>
          </w:p>
        </w:tc>
        <w:tc>
          <w:tcPr>
            <w:tcW w:w="4675" w:type="dxa"/>
          </w:tcPr>
          <w:p w14:paraId="5FD341F2" w14:textId="77777777" w:rsidR="00F61BC3" w:rsidRDefault="00F61BC3" w:rsidP="00F61BC3">
            <w:r>
              <w:t>Brass or stainless circulator pumps from any manufacturer which include the following three criteria:</w:t>
            </w:r>
          </w:p>
          <w:p w14:paraId="4695D1E8" w14:textId="4D81B268" w:rsidR="00F61BC3" w:rsidRDefault="00F61BC3" w:rsidP="00F61BC3">
            <w:pPr>
              <w:pStyle w:val="ListParagraph"/>
              <w:numPr>
                <w:ilvl w:val="0"/>
                <w:numId w:val="42"/>
              </w:numPr>
            </w:pPr>
            <w:r>
              <w:t>Utilize an electrically-commutated motor (ECM)</w:t>
            </w:r>
          </w:p>
          <w:p w14:paraId="7CA287D2" w14:textId="03A61C06" w:rsidR="00F61BC3" w:rsidRDefault="00F61BC3" w:rsidP="00F61BC3">
            <w:pPr>
              <w:pStyle w:val="ListParagraph"/>
              <w:numPr>
                <w:ilvl w:val="0"/>
                <w:numId w:val="42"/>
              </w:numPr>
            </w:pPr>
            <w:r>
              <w:t xml:space="preserve">Have an integrated variable frequency drive (VFDs) </w:t>
            </w:r>
          </w:p>
          <w:p w14:paraId="02417BA1" w14:textId="168DB64C" w:rsidR="00F61BC3" w:rsidRDefault="00F61BC3" w:rsidP="00F61BC3">
            <w:pPr>
              <w:pStyle w:val="ListParagraph"/>
              <w:numPr>
                <w:ilvl w:val="0"/>
                <w:numId w:val="42"/>
              </w:numPr>
            </w:pPr>
            <w:r>
              <w:t xml:space="preserve">Have onboard pump controlling logic with self-optimizing programing allowing the pump to learn and operate at the best efficiency point on the pump curve.  </w:t>
            </w:r>
          </w:p>
          <w:p w14:paraId="27ED9C92" w14:textId="2530782D" w:rsidR="00F61BC3" w:rsidRDefault="00F61BC3" w:rsidP="00F61BC3">
            <w:r>
              <w:t xml:space="preserve">These features must be utilized without any end user interaction and save energy throughout the 15 year useful life of the pumping system.      </w:t>
            </w:r>
          </w:p>
          <w:p w14:paraId="619C459C" w14:textId="77777777" w:rsidR="00F61BC3" w:rsidRDefault="00F61BC3" w:rsidP="007F4905"/>
          <w:p w14:paraId="39211A50" w14:textId="00007BCE" w:rsidR="00D42A60" w:rsidRPr="00D42A60" w:rsidRDefault="007F4905" w:rsidP="007F4905">
            <w:r w:rsidRPr="00D42A60">
              <w:t xml:space="preserve">Implementation and installation requirements: </w:t>
            </w:r>
          </w:p>
          <w:p w14:paraId="45FB3618" w14:textId="64D03685" w:rsidR="00D42A60" w:rsidRPr="00F61BC3" w:rsidRDefault="00D42A60" w:rsidP="007F4905">
            <w:pPr>
              <w:rPr>
                <w:highlight w:val="yellow"/>
              </w:rPr>
            </w:pPr>
            <w:r w:rsidRPr="00D42A60">
              <w:t xml:space="preserve">The High Performance Circulator (PHC) Pumps included in this workpaper are for residential (single and multi-family) domestic hot water applications.  </w:t>
            </w:r>
          </w:p>
          <w:p w14:paraId="53FEF1FF" w14:textId="64E85927" w:rsidR="009F010C" w:rsidRDefault="009F010C" w:rsidP="007F4905"/>
        </w:tc>
      </w:tr>
      <w:tr w:rsidR="007F4905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15881A27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7F4905" w:rsidRDefault="007F4905" w:rsidP="007F4905"/>
        </w:tc>
      </w:tr>
      <w:tr w:rsidR="007F4905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790BB894" w14:textId="77777777" w:rsidR="007F4905" w:rsidRDefault="007F4905" w:rsidP="007F4905">
            <w:r>
              <w:t>Replace on Burnout (ROB)</w:t>
            </w:r>
          </w:p>
          <w:p w14:paraId="2B32F7DC" w14:textId="24A598CC" w:rsidR="007F4905" w:rsidRDefault="007F4905" w:rsidP="007F4905"/>
        </w:tc>
      </w:tr>
      <w:tr w:rsidR="007F4905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67E45078" w14:textId="19A72F8E" w:rsidR="007F4905" w:rsidRDefault="00BA1E28" w:rsidP="005D28C2">
            <w:r w:rsidRPr="00BA1E28">
              <w:t>Mid-Stream Programs: Mid-Stream Incentive</w:t>
            </w:r>
          </w:p>
        </w:tc>
      </w:tr>
      <w:tr w:rsidR="007F4905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573A4587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7F4905" w:rsidRDefault="007F4905" w:rsidP="007F4905"/>
        </w:tc>
      </w:tr>
      <w:tr w:rsidR="007F4905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5CE89F39" w14:textId="0C341198" w:rsidR="007F4905" w:rsidRDefault="005D28C2" w:rsidP="007F4905">
            <w:r>
              <w:t xml:space="preserve">NTG ID: </w:t>
            </w:r>
            <w:r w:rsidR="00BA1E28" w:rsidRPr="00BA1E28">
              <w:t>All-Default&lt;=2yrs</w:t>
            </w:r>
          </w:p>
          <w:p w14:paraId="7C01181E" w14:textId="1231F941" w:rsidR="005D28C2" w:rsidRDefault="00F61BC3" w:rsidP="007F4905">
            <w:r>
              <w:t>NTGR = 0.70</w:t>
            </w:r>
          </w:p>
        </w:tc>
      </w:tr>
      <w:tr w:rsidR="007F4905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0BC13BC" w14:textId="1C8005EA" w:rsidR="007F4905" w:rsidRDefault="00BA1E28" w:rsidP="007F4905">
            <w:r w:rsidRPr="00BA1E28">
              <w:t>Motors-pump</w:t>
            </w:r>
            <w:r w:rsidR="005D28C2">
              <w:t>, EUL = 15</w:t>
            </w:r>
            <w:r w:rsidR="007F4905">
              <w:t xml:space="preserve"> years, RUL = </w:t>
            </w:r>
            <w:r w:rsidR="005D28C2">
              <w:t>5</w:t>
            </w:r>
            <w:r w:rsidR="007F4905">
              <w:t xml:space="preserve"> years</w:t>
            </w:r>
          </w:p>
        </w:tc>
      </w:tr>
      <w:tr w:rsidR="007F4905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7F4905" w:rsidRPr="00D42A60" w:rsidRDefault="007F4905" w:rsidP="007F4905"/>
        </w:tc>
      </w:tr>
      <w:tr w:rsidR="007F4905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Energy savings/Peak Demand Reduction – All Measures</w:t>
            </w:r>
          </w:p>
        </w:tc>
        <w:tc>
          <w:tcPr>
            <w:tcW w:w="4675" w:type="dxa"/>
          </w:tcPr>
          <w:p w14:paraId="38BAFF95" w14:textId="57862BDA" w:rsidR="00A02271" w:rsidRPr="00D42A60" w:rsidRDefault="005D28C2" w:rsidP="00A02271">
            <w:r w:rsidRPr="00D42A60">
              <w:t>Energy savings and d</w:t>
            </w:r>
            <w:r w:rsidR="005310EC" w:rsidRPr="00D42A60">
              <w:t>emand reduction for the measure</w:t>
            </w:r>
            <w:r w:rsidRPr="00D42A60">
              <w:t xml:space="preserve"> contained in this workpaper were </w:t>
            </w:r>
            <w:r w:rsidR="009A1D01" w:rsidRPr="00D42A60">
              <w:t>calculated</w:t>
            </w:r>
            <w:r w:rsidRPr="00D42A60">
              <w:t xml:space="preserve"> </w:t>
            </w:r>
            <w:r w:rsidR="005310EC" w:rsidRPr="00D42A60">
              <w:t>using running watt</w:t>
            </w:r>
            <w:r w:rsidR="00084B29" w:rsidRPr="00D42A60">
              <w:t>s</w:t>
            </w:r>
            <w:r w:rsidR="005310EC" w:rsidRPr="00D42A60">
              <w:t xml:space="preserve"> based on </w:t>
            </w:r>
            <w:r w:rsidR="0031182D">
              <w:t xml:space="preserve">limited Alpha </w:t>
            </w:r>
            <w:r w:rsidR="005310EC" w:rsidRPr="00D42A60">
              <w:t xml:space="preserve">field study that was conducted. </w:t>
            </w:r>
            <w:r w:rsidR="005679B9" w:rsidRPr="00D42A60">
              <w:t>The baseline running watt</w:t>
            </w:r>
            <w:r w:rsidR="00084B29" w:rsidRPr="00D42A60">
              <w:t>s were</w:t>
            </w:r>
            <w:r w:rsidR="005679B9" w:rsidRPr="00D42A60">
              <w:t xml:space="preserve"> determined based on submittal data</w:t>
            </w:r>
            <w:r w:rsidR="00A02271" w:rsidRPr="00D42A60">
              <w:t xml:space="preserve"> for a pump identified as the most popular in the California market. T</w:t>
            </w:r>
            <w:r w:rsidR="005679B9" w:rsidRPr="00D42A60">
              <w:t xml:space="preserve">he measure case running watts were </w:t>
            </w:r>
            <w:r w:rsidR="00A02271" w:rsidRPr="00D42A60">
              <w:t xml:space="preserve">derived from the measured </w:t>
            </w:r>
            <w:r w:rsidR="00D42A60" w:rsidRPr="00D42A60">
              <w:t>data on</w:t>
            </w:r>
            <w:r w:rsidR="00A02271" w:rsidRPr="00D42A60">
              <w:t xml:space="preserve"> the installed pumps in the field study.</w:t>
            </w:r>
            <w:r w:rsidR="009A1D01" w:rsidRPr="00D42A60">
              <w:t xml:space="preserve"> </w:t>
            </w:r>
            <w:r w:rsidR="005679B9" w:rsidRPr="00D42A60">
              <w:t xml:space="preserve"> </w:t>
            </w:r>
            <w:r w:rsidR="00E3538E" w:rsidRPr="00D42A60">
              <w:t>In order to establish the carried operating hours for the baseline and measure cases for this work paper, a combination of sources to adequately capture the California market were used.</w:t>
            </w:r>
            <w:r w:rsidR="00A02271" w:rsidRPr="00D42A60">
              <w:t xml:space="preserve"> </w:t>
            </w:r>
            <w:r w:rsidR="0031182D">
              <w:t xml:space="preserve">A CDF of 0.67 was determined based on the assumed annual operating hours of 5,885 (5,885 / 8760 = 0.67). The </w:t>
            </w:r>
            <w:r w:rsidR="00A02271" w:rsidRPr="00D42A60">
              <w:t xml:space="preserve">CDF was applied to the delta watts to calculate the peak demand reduction.  </w:t>
            </w:r>
          </w:p>
          <w:p w14:paraId="2FB12862" w14:textId="77777777" w:rsidR="005D28C2" w:rsidRPr="00D42A60" w:rsidRDefault="005D28C2" w:rsidP="007F4905"/>
          <w:p w14:paraId="38C62618" w14:textId="431BCB61" w:rsidR="007F4905" w:rsidRPr="00D42A60" w:rsidRDefault="005679B9" w:rsidP="007F4905">
            <w:r w:rsidRPr="00D42A60">
              <w:t xml:space="preserve">Refer to </w:t>
            </w:r>
            <w:r w:rsidR="00646D99">
              <w:t xml:space="preserve">the At-a-Glance Summary and </w:t>
            </w:r>
            <w:r w:rsidR="007F4905" w:rsidRPr="00D42A60">
              <w:t xml:space="preserve">Section 2 of </w:t>
            </w:r>
            <w:r w:rsidR="000F703E" w:rsidRPr="00D42A60">
              <w:t xml:space="preserve">PGECOPUM107 R0 </w:t>
            </w:r>
            <w:r w:rsidR="007550A9" w:rsidRPr="00D42A60">
              <w:t xml:space="preserve">for additional details on the energy savings and peak demand calculations. </w:t>
            </w:r>
            <w:r w:rsidR="007F4905" w:rsidRPr="00D42A60">
              <w:t xml:space="preserve">  </w:t>
            </w:r>
          </w:p>
          <w:p w14:paraId="48A295FE" w14:textId="3730A227" w:rsidR="001E35D5" w:rsidRPr="00D42A60" w:rsidRDefault="001E35D5" w:rsidP="007F4905"/>
        </w:tc>
      </w:tr>
      <w:tr w:rsidR="007F4905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79D3BD2C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4675" w:type="dxa"/>
          </w:tcPr>
          <w:p w14:paraId="573722DD" w14:textId="42D838EF" w:rsidR="007F4905" w:rsidRDefault="00021B55" w:rsidP="007F4905">
            <w:proofErr w:type="spellStart"/>
            <w:r w:rsidRPr="00021B55">
              <w:rPr>
                <w:rFonts w:cstheme="minorHAnsi"/>
                <w:szCs w:val="20"/>
              </w:rPr>
              <w:t>SCE:Residential:HeatPump_WtrHt-RC</w:t>
            </w:r>
            <w:proofErr w:type="spellEnd"/>
          </w:p>
        </w:tc>
      </w:tr>
      <w:tr w:rsidR="007F4905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7F4905" w:rsidRDefault="007F4905" w:rsidP="007F4905"/>
        </w:tc>
      </w:tr>
      <w:tr w:rsidR="007F4905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370DB2EB" w:rsidR="007F4905" w:rsidRDefault="001F7D82" w:rsidP="007B31A1">
            <w:r w:rsidRPr="001F7D82">
              <w:t>Please refer to Attachment #1 Calculation Templates for detailed baseline and measure costs.</w:t>
            </w:r>
            <w:r w:rsidR="004E2C75">
              <w:t xml:space="preserve"> Details</w:t>
            </w:r>
            <w:r w:rsidR="007B31A1">
              <w:t xml:space="preserve"> of the costs are provided in Section 3 of PGECOPUM107 R0. </w:t>
            </w:r>
          </w:p>
        </w:tc>
      </w:tr>
    </w:tbl>
    <w:p w14:paraId="31A3A294" w14:textId="77777777" w:rsidR="009A2332" w:rsidRPr="009A2332" w:rsidRDefault="009A2332" w:rsidP="009A2332"/>
    <w:p w14:paraId="0C475F92" w14:textId="54F908CA" w:rsidR="009A2332" w:rsidRDefault="009A2332" w:rsidP="00BD0491">
      <w:pPr>
        <w:spacing w:after="200" w:line="276" w:lineRule="auto"/>
        <w:rPr>
          <w:b/>
          <w:szCs w:val="20"/>
        </w:rPr>
      </w:pPr>
    </w:p>
    <w:p w14:paraId="6600CFB5" w14:textId="77777777" w:rsidR="00BD0491" w:rsidRPr="00EE365D" w:rsidRDefault="00BD0491" w:rsidP="00BD0491">
      <w:pPr>
        <w:spacing w:after="200" w:line="276" w:lineRule="auto"/>
        <w:rPr>
          <w:i/>
          <w:szCs w:val="20"/>
        </w:rPr>
      </w:pPr>
      <w:r w:rsidRPr="00EE365D">
        <w:rPr>
          <w:i/>
          <w:szCs w:val="20"/>
        </w:rPr>
        <w:t xml:space="preserve">No Changes were required for this short form. The savings were simply transferred to SCE’s 2017 Calculation Template. </w:t>
      </w:r>
    </w:p>
    <w:p w14:paraId="4C148930" w14:textId="77777777" w:rsidR="009A2332" w:rsidRPr="009A2332" w:rsidRDefault="009A2332" w:rsidP="009A2332">
      <w:pPr>
        <w:spacing w:after="200" w:line="276" w:lineRule="auto"/>
        <w:rPr>
          <w:b/>
          <w:szCs w:val="20"/>
        </w:rPr>
      </w:pPr>
    </w:p>
    <w:p w14:paraId="4ADFD17A" w14:textId="29C76DEA" w:rsidR="009A2332" w:rsidRDefault="009A2332" w:rsidP="009A2332">
      <w:pPr>
        <w:spacing w:after="200" w:line="276" w:lineRule="auto"/>
        <w:rPr>
          <w:b/>
          <w:szCs w:val="20"/>
        </w:rPr>
      </w:pPr>
      <w:r>
        <w:rPr>
          <w:b/>
          <w:szCs w:val="20"/>
        </w:rPr>
        <w:t>Savings Calculation Workbook</w:t>
      </w:r>
    </w:p>
    <w:p w14:paraId="58A68995" w14:textId="4521ED4A" w:rsidR="001F7D82" w:rsidRPr="00CC2A23" w:rsidRDefault="001F7D82" w:rsidP="00C52AE6">
      <w:pPr>
        <w:pStyle w:val="ListParagraph"/>
        <w:numPr>
          <w:ilvl w:val="0"/>
          <w:numId w:val="39"/>
        </w:numPr>
        <w:rPr>
          <w:szCs w:val="20"/>
        </w:rPr>
      </w:pPr>
      <w:bookmarkStart w:id="4" w:name="_Toc214003099"/>
      <w:bookmarkEnd w:id="1"/>
      <w:r w:rsidRPr="00CC2A23">
        <w:rPr>
          <w:szCs w:val="20"/>
        </w:rPr>
        <w:t>SCE17</w:t>
      </w:r>
      <w:r w:rsidR="00CC2A23" w:rsidRPr="00CC2A23">
        <w:rPr>
          <w:szCs w:val="20"/>
        </w:rPr>
        <w:t>WP010.0</w:t>
      </w:r>
      <w:r w:rsidRPr="00CC2A23">
        <w:rPr>
          <w:szCs w:val="20"/>
        </w:rPr>
        <w:t xml:space="preserve"> A1 </w:t>
      </w:r>
      <w:r w:rsidR="00E55DCB" w:rsidRPr="00CC2A23">
        <w:rPr>
          <w:szCs w:val="20"/>
        </w:rPr>
        <w:t>-</w:t>
      </w:r>
      <w:r w:rsidRPr="00CC2A23">
        <w:rPr>
          <w:szCs w:val="20"/>
        </w:rPr>
        <w:t xml:space="preserve"> Calculation Template</w:t>
      </w:r>
      <w:bookmarkEnd w:id="4"/>
    </w:p>
    <w:sectPr w:rsidR="001F7D82" w:rsidRPr="00CC2A23" w:rsidSect="00CD452C">
      <w:footerReference w:type="default" r:id="rId9"/>
      <w:pgSz w:w="12240" w:h="15840"/>
      <w:pgMar w:top="1440" w:right="1440" w:bottom="1557" w:left="1440" w:header="720" w:footer="720" w:gutter="0"/>
      <w:pgNumType w:fmt="lowerRoman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48CB64" w16cid:durableId="1E5645CA"/>
  <w16cid:commentId w16cid:paraId="6352A011" w16cid:durableId="1E56413E"/>
  <w16cid:commentId w16cid:paraId="033321EE" w16cid:durableId="1E564212"/>
  <w16cid:commentId w16cid:paraId="79367159" w16cid:durableId="1E564D95"/>
  <w16cid:commentId w16cid:paraId="0746DB94" w16cid:durableId="1E5643D3"/>
  <w16cid:commentId w16cid:paraId="0F5E1544" w16cid:durableId="1E564457"/>
  <w16cid:commentId w16cid:paraId="7B6E72BD" w16cid:durableId="1E564440"/>
  <w16cid:commentId w16cid:paraId="59A11330" w16cid:durableId="1E564510"/>
  <w16cid:commentId w16cid:paraId="4312BCC7" w16cid:durableId="1E563ECC"/>
  <w16cid:commentId w16cid:paraId="5F209CC9" w16cid:durableId="1E5645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47FE3" w14:textId="77777777" w:rsidR="00B84E29" w:rsidRDefault="00B84E29" w:rsidP="00447D6E">
      <w:r>
        <w:separator/>
      </w:r>
    </w:p>
    <w:p w14:paraId="51DAE85A" w14:textId="77777777" w:rsidR="00B84E29" w:rsidRDefault="00B84E29"/>
  </w:endnote>
  <w:endnote w:type="continuationSeparator" w:id="0">
    <w:p w14:paraId="58596B86" w14:textId="77777777" w:rsidR="00B84E29" w:rsidRDefault="00B84E29" w:rsidP="00447D6E">
      <w:r>
        <w:continuationSeparator/>
      </w:r>
    </w:p>
    <w:p w14:paraId="797EDE99" w14:textId="77777777" w:rsidR="00B84E29" w:rsidRDefault="00B84E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2D3E3C90" w:rsidR="00F30167" w:rsidRPr="009500DC" w:rsidRDefault="0026365F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02503">
          <w:rPr>
            <w:rFonts w:cstheme="minorHAnsi"/>
            <w:b/>
            <w:sz w:val="20"/>
            <w:szCs w:val="20"/>
          </w:rPr>
          <w:t>SCE17WP010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5319F0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v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3-16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39567B">
          <w:rPr>
            <w:rFonts w:cstheme="minorHAnsi"/>
            <w:b/>
            <w:sz w:val="20"/>
            <w:szCs w:val="20"/>
          </w:rPr>
          <w:t>March 16</w:t>
        </w:r>
        <w:r w:rsidR="005319F0">
          <w:rPr>
            <w:rFonts w:cstheme="minorHAnsi"/>
            <w:b/>
            <w:sz w:val="20"/>
            <w:szCs w:val="20"/>
          </w:rPr>
          <w:t>, 2018</w:t>
        </w:r>
      </w:sdtContent>
    </w:sdt>
  </w:p>
  <w:p w14:paraId="43C07EA5" w14:textId="544E4323" w:rsidR="00F30167" w:rsidRPr="009500DC" w:rsidRDefault="0026365F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EB962" w14:textId="77777777" w:rsidR="00B84E29" w:rsidRDefault="00B84E29" w:rsidP="00447D6E">
      <w:r>
        <w:separator/>
      </w:r>
    </w:p>
    <w:p w14:paraId="4E9AB560" w14:textId="77777777" w:rsidR="00B84E29" w:rsidRDefault="00B84E29"/>
  </w:footnote>
  <w:footnote w:type="continuationSeparator" w:id="0">
    <w:p w14:paraId="77F473D3" w14:textId="77777777" w:rsidR="00B84E29" w:rsidRDefault="00B84E29" w:rsidP="00447D6E">
      <w:r>
        <w:continuationSeparator/>
      </w:r>
    </w:p>
    <w:p w14:paraId="780C5345" w14:textId="77777777" w:rsidR="00B84E29" w:rsidRDefault="00B84E2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E2263"/>
    <w:multiLevelType w:val="hybridMultilevel"/>
    <w:tmpl w:val="AE14D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4AC691E"/>
    <w:multiLevelType w:val="hybridMultilevel"/>
    <w:tmpl w:val="C5501AC4"/>
    <w:lvl w:ilvl="0" w:tplc="F594E1D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D63B6"/>
    <w:multiLevelType w:val="hybridMultilevel"/>
    <w:tmpl w:val="EF1EE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62806"/>
    <w:multiLevelType w:val="hybridMultilevel"/>
    <w:tmpl w:val="5D70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9915D7"/>
    <w:multiLevelType w:val="hybridMultilevel"/>
    <w:tmpl w:val="27AC5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B3D16"/>
    <w:multiLevelType w:val="hybridMultilevel"/>
    <w:tmpl w:val="72B40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19"/>
  </w:num>
  <w:num w:numId="5">
    <w:abstractNumId w:val="19"/>
  </w:num>
  <w:num w:numId="6">
    <w:abstractNumId w:val="2"/>
  </w:num>
  <w:num w:numId="7">
    <w:abstractNumId w:val="24"/>
  </w:num>
  <w:num w:numId="8">
    <w:abstractNumId w:val="20"/>
  </w:num>
  <w:num w:numId="9">
    <w:abstractNumId w:val="11"/>
  </w:num>
  <w:num w:numId="10">
    <w:abstractNumId w:val="5"/>
  </w:num>
  <w:num w:numId="11">
    <w:abstractNumId w:val="25"/>
  </w:num>
  <w:num w:numId="12">
    <w:abstractNumId w:val="18"/>
  </w:num>
  <w:num w:numId="13">
    <w:abstractNumId w:val="10"/>
  </w:num>
  <w:num w:numId="14">
    <w:abstractNumId w:val="37"/>
  </w:num>
  <w:num w:numId="15">
    <w:abstractNumId w:val="8"/>
  </w:num>
  <w:num w:numId="16">
    <w:abstractNumId w:val="12"/>
  </w:num>
  <w:num w:numId="17">
    <w:abstractNumId w:val="4"/>
  </w:num>
  <w:num w:numId="18">
    <w:abstractNumId w:val="0"/>
  </w:num>
  <w:num w:numId="19">
    <w:abstractNumId w:val="36"/>
  </w:num>
  <w:num w:numId="20">
    <w:abstractNumId w:val="3"/>
  </w:num>
  <w:num w:numId="21">
    <w:abstractNumId w:val="28"/>
  </w:num>
  <w:num w:numId="22">
    <w:abstractNumId w:val="29"/>
  </w:num>
  <w:num w:numId="23">
    <w:abstractNumId w:val="38"/>
  </w:num>
  <w:num w:numId="24">
    <w:abstractNumId w:val="34"/>
  </w:num>
  <w:num w:numId="25">
    <w:abstractNumId w:val="13"/>
  </w:num>
  <w:num w:numId="26">
    <w:abstractNumId w:val="17"/>
  </w:num>
  <w:num w:numId="27">
    <w:abstractNumId w:val="31"/>
  </w:num>
  <w:num w:numId="28">
    <w:abstractNumId w:val="15"/>
  </w:num>
  <w:num w:numId="29">
    <w:abstractNumId w:val="7"/>
  </w:num>
  <w:num w:numId="30">
    <w:abstractNumId w:val="1"/>
  </w:num>
  <w:num w:numId="31">
    <w:abstractNumId w:val="39"/>
  </w:num>
  <w:num w:numId="32">
    <w:abstractNumId w:val="27"/>
  </w:num>
  <w:num w:numId="33">
    <w:abstractNumId w:val="33"/>
  </w:num>
  <w:num w:numId="34">
    <w:abstractNumId w:val="9"/>
  </w:num>
  <w:num w:numId="35">
    <w:abstractNumId w:val="14"/>
  </w:num>
  <w:num w:numId="36">
    <w:abstractNumId w:val="6"/>
  </w:num>
  <w:num w:numId="37">
    <w:abstractNumId w:val="22"/>
  </w:num>
  <w:num w:numId="38">
    <w:abstractNumId w:val="35"/>
  </w:num>
  <w:num w:numId="39">
    <w:abstractNumId w:val="16"/>
  </w:num>
  <w:num w:numId="40">
    <w:abstractNumId w:val="26"/>
  </w:num>
  <w:num w:numId="41">
    <w:abstractNumId w:val="32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1B55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CB3"/>
    <w:rsid w:val="00070BEE"/>
    <w:rsid w:val="00072040"/>
    <w:rsid w:val="00076DF4"/>
    <w:rsid w:val="00076F51"/>
    <w:rsid w:val="00084B29"/>
    <w:rsid w:val="0008524C"/>
    <w:rsid w:val="00086F7F"/>
    <w:rsid w:val="0009074D"/>
    <w:rsid w:val="0009592B"/>
    <w:rsid w:val="000968C6"/>
    <w:rsid w:val="000A63C9"/>
    <w:rsid w:val="000B3765"/>
    <w:rsid w:val="000B655B"/>
    <w:rsid w:val="000C0000"/>
    <w:rsid w:val="000C18CC"/>
    <w:rsid w:val="000C687D"/>
    <w:rsid w:val="000C7ED1"/>
    <w:rsid w:val="000D789A"/>
    <w:rsid w:val="000E4B5F"/>
    <w:rsid w:val="000E706D"/>
    <w:rsid w:val="000F130A"/>
    <w:rsid w:val="000F4FD8"/>
    <w:rsid w:val="000F703E"/>
    <w:rsid w:val="000F7135"/>
    <w:rsid w:val="00100F3E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C6DF8"/>
    <w:rsid w:val="001D2317"/>
    <w:rsid w:val="001D3223"/>
    <w:rsid w:val="001D33EF"/>
    <w:rsid w:val="001D5AB3"/>
    <w:rsid w:val="001E0519"/>
    <w:rsid w:val="001E0829"/>
    <w:rsid w:val="001E1320"/>
    <w:rsid w:val="001E35D5"/>
    <w:rsid w:val="001E556A"/>
    <w:rsid w:val="001F05CE"/>
    <w:rsid w:val="001F1905"/>
    <w:rsid w:val="001F4A65"/>
    <w:rsid w:val="001F7D82"/>
    <w:rsid w:val="00205C45"/>
    <w:rsid w:val="0021035B"/>
    <w:rsid w:val="00211153"/>
    <w:rsid w:val="0023254A"/>
    <w:rsid w:val="00233205"/>
    <w:rsid w:val="002344FB"/>
    <w:rsid w:val="00236216"/>
    <w:rsid w:val="002405CD"/>
    <w:rsid w:val="00240B74"/>
    <w:rsid w:val="002427B5"/>
    <w:rsid w:val="00243B62"/>
    <w:rsid w:val="0024675B"/>
    <w:rsid w:val="002469DD"/>
    <w:rsid w:val="00247180"/>
    <w:rsid w:val="00254671"/>
    <w:rsid w:val="00257D36"/>
    <w:rsid w:val="0026365F"/>
    <w:rsid w:val="00263C1C"/>
    <w:rsid w:val="00271415"/>
    <w:rsid w:val="00274FBE"/>
    <w:rsid w:val="002762E1"/>
    <w:rsid w:val="002811BC"/>
    <w:rsid w:val="00283DE8"/>
    <w:rsid w:val="002852AC"/>
    <w:rsid w:val="00285552"/>
    <w:rsid w:val="00285966"/>
    <w:rsid w:val="00285A0D"/>
    <w:rsid w:val="00290ED8"/>
    <w:rsid w:val="00290FE3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444C"/>
    <w:rsid w:val="002C458F"/>
    <w:rsid w:val="002C6C20"/>
    <w:rsid w:val="002C6C7A"/>
    <w:rsid w:val="002C7F78"/>
    <w:rsid w:val="002D0DB6"/>
    <w:rsid w:val="002D5277"/>
    <w:rsid w:val="002D71FA"/>
    <w:rsid w:val="002D73AF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08ED"/>
    <w:rsid w:val="0031182D"/>
    <w:rsid w:val="00313BF4"/>
    <w:rsid w:val="00317970"/>
    <w:rsid w:val="00317EB0"/>
    <w:rsid w:val="003234A2"/>
    <w:rsid w:val="00332700"/>
    <w:rsid w:val="003358BD"/>
    <w:rsid w:val="00337627"/>
    <w:rsid w:val="00344E88"/>
    <w:rsid w:val="00345D80"/>
    <w:rsid w:val="003471D4"/>
    <w:rsid w:val="00350BF1"/>
    <w:rsid w:val="00353C49"/>
    <w:rsid w:val="003540B1"/>
    <w:rsid w:val="003557E9"/>
    <w:rsid w:val="003560BA"/>
    <w:rsid w:val="00357868"/>
    <w:rsid w:val="00364CC6"/>
    <w:rsid w:val="003650F6"/>
    <w:rsid w:val="0036726C"/>
    <w:rsid w:val="003832D2"/>
    <w:rsid w:val="003845E5"/>
    <w:rsid w:val="0038615C"/>
    <w:rsid w:val="00393137"/>
    <w:rsid w:val="0039567B"/>
    <w:rsid w:val="0039615F"/>
    <w:rsid w:val="00397406"/>
    <w:rsid w:val="003A3170"/>
    <w:rsid w:val="003A360E"/>
    <w:rsid w:val="003D17FF"/>
    <w:rsid w:val="003D2871"/>
    <w:rsid w:val="003D2981"/>
    <w:rsid w:val="003D5B83"/>
    <w:rsid w:val="003E1577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C6A"/>
    <w:rsid w:val="00416E34"/>
    <w:rsid w:val="004200FE"/>
    <w:rsid w:val="00421183"/>
    <w:rsid w:val="00421BA6"/>
    <w:rsid w:val="00421C17"/>
    <w:rsid w:val="004262BA"/>
    <w:rsid w:val="00426CDE"/>
    <w:rsid w:val="00433EA1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6787B"/>
    <w:rsid w:val="00471234"/>
    <w:rsid w:val="00472250"/>
    <w:rsid w:val="0047437C"/>
    <w:rsid w:val="00477522"/>
    <w:rsid w:val="00480E7B"/>
    <w:rsid w:val="00481E3E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2C75"/>
    <w:rsid w:val="004E76CA"/>
    <w:rsid w:val="004F1698"/>
    <w:rsid w:val="00500C4E"/>
    <w:rsid w:val="00505CEC"/>
    <w:rsid w:val="0051020F"/>
    <w:rsid w:val="00513CAB"/>
    <w:rsid w:val="00516CF5"/>
    <w:rsid w:val="00523597"/>
    <w:rsid w:val="00523736"/>
    <w:rsid w:val="00527D6D"/>
    <w:rsid w:val="005310EC"/>
    <w:rsid w:val="005319F0"/>
    <w:rsid w:val="00532530"/>
    <w:rsid w:val="00535CA4"/>
    <w:rsid w:val="0053656E"/>
    <w:rsid w:val="00545A5B"/>
    <w:rsid w:val="005476F6"/>
    <w:rsid w:val="00551D72"/>
    <w:rsid w:val="005540B6"/>
    <w:rsid w:val="005552C3"/>
    <w:rsid w:val="00557846"/>
    <w:rsid w:val="00560934"/>
    <w:rsid w:val="00563E58"/>
    <w:rsid w:val="00564960"/>
    <w:rsid w:val="00566FAF"/>
    <w:rsid w:val="005679B9"/>
    <w:rsid w:val="00570654"/>
    <w:rsid w:val="00570F38"/>
    <w:rsid w:val="005720F2"/>
    <w:rsid w:val="005729C8"/>
    <w:rsid w:val="00572D2F"/>
    <w:rsid w:val="005734A4"/>
    <w:rsid w:val="0058388F"/>
    <w:rsid w:val="00594EF5"/>
    <w:rsid w:val="005A0E53"/>
    <w:rsid w:val="005A1078"/>
    <w:rsid w:val="005A4658"/>
    <w:rsid w:val="005A496B"/>
    <w:rsid w:val="005B28C1"/>
    <w:rsid w:val="005B6344"/>
    <w:rsid w:val="005B7C56"/>
    <w:rsid w:val="005C1C74"/>
    <w:rsid w:val="005C2DAE"/>
    <w:rsid w:val="005C2E48"/>
    <w:rsid w:val="005C3F23"/>
    <w:rsid w:val="005D28C2"/>
    <w:rsid w:val="005D3DF8"/>
    <w:rsid w:val="005D4DD7"/>
    <w:rsid w:val="005E12A9"/>
    <w:rsid w:val="005F139E"/>
    <w:rsid w:val="005F69D5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3CBD"/>
    <w:rsid w:val="006404E6"/>
    <w:rsid w:val="0064680F"/>
    <w:rsid w:val="00646D99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5D5C"/>
    <w:rsid w:val="00686B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E7B05"/>
    <w:rsid w:val="006F1B21"/>
    <w:rsid w:val="006F21E8"/>
    <w:rsid w:val="006F78D5"/>
    <w:rsid w:val="0070091B"/>
    <w:rsid w:val="007048AC"/>
    <w:rsid w:val="00726338"/>
    <w:rsid w:val="00726AD5"/>
    <w:rsid w:val="00733C7D"/>
    <w:rsid w:val="00734466"/>
    <w:rsid w:val="00740761"/>
    <w:rsid w:val="00745F77"/>
    <w:rsid w:val="007464DE"/>
    <w:rsid w:val="007529EA"/>
    <w:rsid w:val="007550A9"/>
    <w:rsid w:val="00755A45"/>
    <w:rsid w:val="00760CDC"/>
    <w:rsid w:val="00764D0D"/>
    <w:rsid w:val="00766305"/>
    <w:rsid w:val="00777C53"/>
    <w:rsid w:val="00786E92"/>
    <w:rsid w:val="007933F1"/>
    <w:rsid w:val="007A5F52"/>
    <w:rsid w:val="007B090A"/>
    <w:rsid w:val="007B31A1"/>
    <w:rsid w:val="007D546F"/>
    <w:rsid w:val="007E43F8"/>
    <w:rsid w:val="007E5076"/>
    <w:rsid w:val="007E581C"/>
    <w:rsid w:val="007E587D"/>
    <w:rsid w:val="007E656B"/>
    <w:rsid w:val="007F2997"/>
    <w:rsid w:val="007F4905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43763"/>
    <w:rsid w:val="00847A4E"/>
    <w:rsid w:val="0085268B"/>
    <w:rsid w:val="00871D79"/>
    <w:rsid w:val="0087393E"/>
    <w:rsid w:val="00881A42"/>
    <w:rsid w:val="00882386"/>
    <w:rsid w:val="0088361D"/>
    <w:rsid w:val="00885E0A"/>
    <w:rsid w:val="0088603B"/>
    <w:rsid w:val="008877AF"/>
    <w:rsid w:val="00893FC3"/>
    <w:rsid w:val="0089577B"/>
    <w:rsid w:val="008B1024"/>
    <w:rsid w:val="008B1357"/>
    <w:rsid w:val="008B2DF3"/>
    <w:rsid w:val="008C2E0E"/>
    <w:rsid w:val="008C4DE0"/>
    <w:rsid w:val="008D249F"/>
    <w:rsid w:val="008D3930"/>
    <w:rsid w:val="008D67F9"/>
    <w:rsid w:val="008E17CC"/>
    <w:rsid w:val="008E25B1"/>
    <w:rsid w:val="008E56FB"/>
    <w:rsid w:val="008F2167"/>
    <w:rsid w:val="008F33B4"/>
    <w:rsid w:val="008F6298"/>
    <w:rsid w:val="0090077A"/>
    <w:rsid w:val="00900F47"/>
    <w:rsid w:val="00904ADA"/>
    <w:rsid w:val="00907697"/>
    <w:rsid w:val="00910A69"/>
    <w:rsid w:val="00912CCD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923"/>
    <w:rsid w:val="00972A35"/>
    <w:rsid w:val="00972C81"/>
    <w:rsid w:val="009824E9"/>
    <w:rsid w:val="009826E5"/>
    <w:rsid w:val="009844A1"/>
    <w:rsid w:val="00986E20"/>
    <w:rsid w:val="00992017"/>
    <w:rsid w:val="00992D61"/>
    <w:rsid w:val="009939B0"/>
    <w:rsid w:val="00995479"/>
    <w:rsid w:val="00995CB0"/>
    <w:rsid w:val="00997E77"/>
    <w:rsid w:val="009A029F"/>
    <w:rsid w:val="009A1D01"/>
    <w:rsid w:val="009A2332"/>
    <w:rsid w:val="009A2734"/>
    <w:rsid w:val="009A7C35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1802"/>
    <w:rsid w:val="009E1CDE"/>
    <w:rsid w:val="009E2B06"/>
    <w:rsid w:val="009E3829"/>
    <w:rsid w:val="009E51E2"/>
    <w:rsid w:val="009F010C"/>
    <w:rsid w:val="009F7A61"/>
    <w:rsid w:val="00A02271"/>
    <w:rsid w:val="00A11800"/>
    <w:rsid w:val="00A11C16"/>
    <w:rsid w:val="00A1423E"/>
    <w:rsid w:val="00A17664"/>
    <w:rsid w:val="00A20FAF"/>
    <w:rsid w:val="00A24520"/>
    <w:rsid w:val="00A3164A"/>
    <w:rsid w:val="00A37F42"/>
    <w:rsid w:val="00A4411F"/>
    <w:rsid w:val="00A46DB4"/>
    <w:rsid w:val="00A500D6"/>
    <w:rsid w:val="00A523FF"/>
    <w:rsid w:val="00A54756"/>
    <w:rsid w:val="00A54C66"/>
    <w:rsid w:val="00A57D36"/>
    <w:rsid w:val="00A60215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291"/>
    <w:rsid w:val="00AB3386"/>
    <w:rsid w:val="00AB36DB"/>
    <w:rsid w:val="00AC0B1D"/>
    <w:rsid w:val="00AC2F5B"/>
    <w:rsid w:val="00AC3DAD"/>
    <w:rsid w:val="00AC5309"/>
    <w:rsid w:val="00AC5B97"/>
    <w:rsid w:val="00AD4DD0"/>
    <w:rsid w:val="00AE0A8D"/>
    <w:rsid w:val="00AF6342"/>
    <w:rsid w:val="00B053FB"/>
    <w:rsid w:val="00B05647"/>
    <w:rsid w:val="00B07EE5"/>
    <w:rsid w:val="00B17A58"/>
    <w:rsid w:val="00B21CC5"/>
    <w:rsid w:val="00B26778"/>
    <w:rsid w:val="00B26B83"/>
    <w:rsid w:val="00B32479"/>
    <w:rsid w:val="00B3317C"/>
    <w:rsid w:val="00B33FE2"/>
    <w:rsid w:val="00B403ED"/>
    <w:rsid w:val="00B4065F"/>
    <w:rsid w:val="00B45091"/>
    <w:rsid w:val="00B45447"/>
    <w:rsid w:val="00B614F1"/>
    <w:rsid w:val="00B7783C"/>
    <w:rsid w:val="00B84E29"/>
    <w:rsid w:val="00B866B4"/>
    <w:rsid w:val="00B94226"/>
    <w:rsid w:val="00BA0A8C"/>
    <w:rsid w:val="00BA0CEB"/>
    <w:rsid w:val="00BA1E28"/>
    <w:rsid w:val="00BA2383"/>
    <w:rsid w:val="00BA2E7E"/>
    <w:rsid w:val="00BA590A"/>
    <w:rsid w:val="00BA5FE4"/>
    <w:rsid w:val="00BB0B39"/>
    <w:rsid w:val="00BB30D1"/>
    <w:rsid w:val="00BB39D8"/>
    <w:rsid w:val="00BB5F75"/>
    <w:rsid w:val="00BC6524"/>
    <w:rsid w:val="00BD0491"/>
    <w:rsid w:val="00BD1451"/>
    <w:rsid w:val="00BD3931"/>
    <w:rsid w:val="00BD5B88"/>
    <w:rsid w:val="00BD5F58"/>
    <w:rsid w:val="00BE0AEB"/>
    <w:rsid w:val="00C018E0"/>
    <w:rsid w:val="00C05AAF"/>
    <w:rsid w:val="00C10D2B"/>
    <w:rsid w:val="00C118C7"/>
    <w:rsid w:val="00C20877"/>
    <w:rsid w:val="00C20E7B"/>
    <w:rsid w:val="00C21456"/>
    <w:rsid w:val="00C24D03"/>
    <w:rsid w:val="00C25E61"/>
    <w:rsid w:val="00C35A1B"/>
    <w:rsid w:val="00C413F3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B57A3"/>
    <w:rsid w:val="00CC2A23"/>
    <w:rsid w:val="00CD452C"/>
    <w:rsid w:val="00CD7EFE"/>
    <w:rsid w:val="00CE0AB0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2503"/>
    <w:rsid w:val="00D17EF4"/>
    <w:rsid w:val="00D23770"/>
    <w:rsid w:val="00D24DF9"/>
    <w:rsid w:val="00D25074"/>
    <w:rsid w:val="00D34517"/>
    <w:rsid w:val="00D36798"/>
    <w:rsid w:val="00D42A60"/>
    <w:rsid w:val="00D47E80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6C22"/>
    <w:rsid w:val="00DA7225"/>
    <w:rsid w:val="00DB44E9"/>
    <w:rsid w:val="00DC1966"/>
    <w:rsid w:val="00DC3259"/>
    <w:rsid w:val="00DD0523"/>
    <w:rsid w:val="00DD66FA"/>
    <w:rsid w:val="00DE5758"/>
    <w:rsid w:val="00DE5FCF"/>
    <w:rsid w:val="00DF0D19"/>
    <w:rsid w:val="00DF2EE9"/>
    <w:rsid w:val="00DF6FD8"/>
    <w:rsid w:val="00E05A80"/>
    <w:rsid w:val="00E06A37"/>
    <w:rsid w:val="00E071A5"/>
    <w:rsid w:val="00E07752"/>
    <w:rsid w:val="00E16609"/>
    <w:rsid w:val="00E16F08"/>
    <w:rsid w:val="00E233F3"/>
    <w:rsid w:val="00E26B34"/>
    <w:rsid w:val="00E314BA"/>
    <w:rsid w:val="00E325BE"/>
    <w:rsid w:val="00E326BA"/>
    <w:rsid w:val="00E34202"/>
    <w:rsid w:val="00E3538E"/>
    <w:rsid w:val="00E37F72"/>
    <w:rsid w:val="00E40BE5"/>
    <w:rsid w:val="00E40CF9"/>
    <w:rsid w:val="00E42A30"/>
    <w:rsid w:val="00E55DCB"/>
    <w:rsid w:val="00E5625D"/>
    <w:rsid w:val="00E57925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1BC3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2AEB"/>
    <w:rsid w:val="00FA4F34"/>
    <w:rsid w:val="00FB2590"/>
    <w:rsid w:val="00FD5A8C"/>
    <w:rsid w:val="00FE286E"/>
    <w:rsid w:val="00FE3233"/>
    <w:rsid w:val="00FE4C68"/>
    <w:rsid w:val="00FE5FAF"/>
    <w:rsid w:val="00FE6D74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77E0EA"/>
  <w15:docId w15:val="{D1410925-734F-41DE-B2E1-D33BA60F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0F56D2"/>
    <w:rsid w:val="00146151"/>
    <w:rsid w:val="00204A7F"/>
    <w:rsid w:val="00283599"/>
    <w:rsid w:val="002B514B"/>
    <w:rsid w:val="002C0C03"/>
    <w:rsid w:val="00311B0D"/>
    <w:rsid w:val="00323F8C"/>
    <w:rsid w:val="003A131F"/>
    <w:rsid w:val="004817CD"/>
    <w:rsid w:val="00560392"/>
    <w:rsid w:val="006B7FA8"/>
    <w:rsid w:val="008211B5"/>
    <w:rsid w:val="00874653"/>
    <w:rsid w:val="00A5022A"/>
    <w:rsid w:val="00AE4C28"/>
    <w:rsid w:val="00AF2C4B"/>
    <w:rsid w:val="00B73964"/>
    <w:rsid w:val="00B74704"/>
    <w:rsid w:val="00C616F5"/>
    <w:rsid w:val="00C947B8"/>
    <w:rsid w:val="00D0496D"/>
    <w:rsid w:val="00D051F5"/>
    <w:rsid w:val="00EC59D9"/>
    <w:rsid w:val="00F7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2018-03-16T00:00:00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88B62C-6C03-404B-BEE1-DF7BB505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SCE17WP010</vt:lpstr>
    </vt:vector>
  </TitlesOfParts>
  <Company>Southern California Edison</Company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SCE17WP010</dc:title>
  <dc:creator>Jim Wyatt (PG&amp;E);Jason Wang (SCE)</dc:creator>
  <cp:lastModifiedBy>Jay Bhakta</cp:lastModifiedBy>
  <cp:revision>3</cp:revision>
  <dcterms:created xsi:type="dcterms:W3CDTF">2018-03-20T00:04:00Z</dcterms:created>
  <dcterms:modified xsi:type="dcterms:W3CDTF">2018-03-20T00:05:00Z</dcterms:modified>
  <cp:contentStatus>Revision 0</cp:contentStatus>
</cp:coreProperties>
</file>